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31FE" w14:textId="01A4CC06" w:rsidR="00307684" w:rsidRPr="002A2856" w:rsidRDefault="00307684" w:rsidP="009D764D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681F645" w14:textId="27F3938D" w:rsidR="00307684" w:rsidRPr="0048128A" w:rsidRDefault="00307684" w:rsidP="009D764D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8128A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0D188B">
        <w:rPr>
          <w:rFonts w:ascii="GHEA Grapalat" w:hAnsi="GHEA Grapalat"/>
          <w:b/>
          <w:bCs/>
          <w:sz w:val="24"/>
          <w:szCs w:val="24"/>
          <w:lang w:val="hy-AM"/>
        </w:rPr>
        <w:t>ԷՆԵՐՋԻ ՊՐՈՎԱՅԴԵՐ</w:t>
      </w:r>
      <w:r w:rsidRPr="0048128A">
        <w:rPr>
          <w:rFonts w:ascii="GHEA Grapalat" w:hAnsi="GHEA Grapalat"/>
          <w:b/>
          <w:bCs/>
          <w:sz w:val="24"/>
          <w:szCs w:val="24"/>
          <w:lang w:val="hy-AM"/>
        </w:rPr>
        <w:t>» ՍՊԸ</w:t>
      </w:r>
    </w:p>
    <w:p w14:paraId="53BC133C" w14:textId="77777777" w:rsidR="009D764D" w:rsidRDefault="009D764D" w:rsidP="009D764D">
      <w:pPr>
        <w:pStyle w:val="a3"/>
        <w:spacing w:after="0" w:line="360" w:lineRule="auto"/>
        <w:ind w:left="1080"/>
        <w:rPr>
          <w:rFonts w:ascii="GHEA Grapalat" w:hAnsi="GHEA Grapalat"/>
          <w:b/>
          <w:bCs/>
          <w:sz w:val="24"/>
          <w:szCs w:val="24"/>
          <w:lang w:val="hy-AM"/>
        </w:rPr>
      </w:pPr>
      <w:r w:rsidRPr="009D764D">
        <w:rPr>
          <w:rFonts w:ascii="GHEA Grapalat" w:hAnsi="GHEA Grapalat"/>
          <w:b/>
          <w:bCs/>
          <w:sz w:val="24"/>
          <w:szCs w:val="24"/>
          <w:lang w:val="hy-AM"/>
        </w:rPr>
        <w:t>ԴԻՄՈՒՄ-ԲՈՂՈՔՆԵ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ԵՐԻ</w:t>
      </w:r>
      <w:r w:rsidRPr="009D764D">
        <w:rPr>
          <w:lang w:val="hy-AM"/>
        </w:rPr>
        <w:t xml:space="preserve"> </w:t>
      </w:r>
      <w:r w:rsidRPr="009D764D">
        <w:rPr>
          <w:rFonts w:ascii="GHEA Grapalat" w:hAnsi="GHEA Grapalat"/>
          <w:b/>
          <w:bCs/>
          <w:sz w:val="24"/>
          <w:szCs w:val="24"/>
          <w:lang w:val="hy-AM"/>
        </w:rPr>
        <w:t xml:space="preserve">ԸՆԴՈՒՆՄԱՆ, ԳՐԱՆՑՄԱՆ, ՔՆՆԱՐԿՄԱՆ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9D764D">
        <w:rPr>
          <w:rFonts w:ascii="GHEA Grapalat" w:hAnsi="GHEA Grapalat"/>
          <w:b/>
          <w:bCs/>
          <w:sz w:val="24"/>
          <w:szCs w:val="24"/>
          <w:lang w:val="hy-AM"/>
        </w:rPr>
        <w:t xml:space="preserve"> ԴՐԱՆՑ ՎԵՐԱԲԵՐՅԱԼ ՈՐՈՇՈՒՄՆԵՐԻ ԿԱՅԱՑՄԱՆ ԿԱՐԳԸ</w:t>
      </w:r>
    </w:p>
    <w:p w14:paraId="5DF1F671" w14:textId="7EDFA290" w:rsidR="00C82929" w:rsidRPr="002A2856" w:rsidRDefault="009D764D" w:rsidP="009D764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15600482" w14:textId="419C9A22" w:rsidR="00307684" w:rsidRPr="0048128A" w:rsidRDefault="002A2856" w:rsidP="0048128A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8128A">
        <w:rPr>
          <w:rFonts w:ascii="GHEA Grapalat" w:hAnsi="GHEA Grapalat"/>
          <w:b/>
          <w:bCs/>
          <w:sz w:val="24"/>
          <w:szCs w:val="24"/>
          <w:lang w:val="hy-AM"/>
        </w:rPr>
        <w:t>ԸՆԴՀԱՆՈՒՐ ԴՐՈՒՅԹՆԵՐ</w:t>
      </w:r>
    </w:p>
    <w:p w14:paraId="27A6B5E3" w14:textId="77777777" w:rsidR="0048128A" w:rsidRPr="0048128A" w:rsidRDefault="0048128A" w:rsidP="0048128A">
      <w:pPr>
        <w:pStyle w:val="a3"/>
        <w:spacing w:after="0" w:line="360" w:lineRule="auto"/>
        <w:ind w:left="108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93AABAD" w14:textId="4765764A" w:rsidR="009D764D" w:rsidRDefault="009D764D" w:rsidP="0055374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764D">
        <w:rPr>
          <w:rFonts w:ascii="GHEA Grapalat" w:hAnsi="GHEA Grapalat"/>
          <w:sz w:val="24"/>
          <w:szCs w:val="24"/>
          <w:lang w:val="hy-AM"/>
        </w:rPr>
        <w:t xml:space="preserve">Դիմում-բողոքնեերի ընդունման, գրանցման, քննարկման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9D764D">
        <w:rPr>
          <w:rFonts w:ascii="GHEA Grapalat" w:hAnsi="GHEA Grapalat"/>
          <w:sz w:val="24"/>
          <w:szCs w:val="24"/>
          <w:lang w:val="hy-AM"/>
        </w:rPr>
        <w:t xml:space="preserve"> դրանց վերաբերյալ որոշումների կայացման կարգը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64D">
        <w:rPr>
          <w:rFonts w:ascii="GHEA Grapalat" w:hAnsi="GHEA Grapalat"/>
          <w:sz w:val="24"/>
          <w:szCs w:val="24"/>
          <w:lang w:val="hy-AM"/>
        </w:rPr>
        <w:t>նպատակաուղղված է շահառուների</w:t>
      </w:r>
      <w:r>
        <w:rPr>
          <w:rFonts w:ascii="GHEA Grapalat" w:hAnsi="GHEA Grapalat"/>
          <w:sz w:val="24"/>
          <w:szCs w:val="24"/>
          <w:lang w:val="hy-AM"/>
        </w:rPr>
        <w:t xml:space="preserve"> դիմում բողոքների ընդունման և դրանց վերաբերյալ որոշումների կայացման թափանցիկության ապահովմանը։</w:t>
      </w:r>
    </w:p>
    <w:p w14:paraId="3CE59D9F" w14:textId="338CA7BF" w:rsidR="0055374A" w:rsidRPr="008F158C" w:rsidRDefault="008F158C" w:rsidP="008F15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Ընկերության գործունեության հետ</w:t>
      </w:r>
      <w:r w:rsidRPr="008F158C">
        <w:rPr>
          <w:rFonts w:ascii="GHEA Grapalat" w:hAnsi="GHEA Grapalat"/>
          <w:sz w:val="24"/>
          <w:szCs w:val="24"/>
          <w:lang w:val="hy-AM"/>
        </w:rPr>
        <w:t xml:space="preserve"> կապված շահագրգիռ կողմերի ներգրավումը</w:t>
      </w:r>
      <w:r w:rsidR="009D764D">
        <w:rPr>
          <w:rFonts w:ascii="GHEA Grapalat" w:hAnsi="GHEA Grapalat"/>
          <w:sz w:val="24"/>
          <w:szCs w:val="24"/>
          <w:lang w:val="hy-AM"/>
        </w:rPr>
        <w:t>, ինչպես նաև նրանց կողմից ներկայացվող դիմում-բողոքներին պատշաճ կերպով արձագանքը</w:t>
      </w:r>
      <w:r w:rsidRPr="008F158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պետք է իրականացվի</w:t>
      </w:r>
      <w:r w:rsidRPr="008F158C">
        <w:rPr>
          <w:rFonts w:ascii="GHEA Grapalat" w:hAnsi="GHEA Grapalat"/>
          <w:sz w:val="24"/>
          <w:szCs w:val="24"/>
          <w:lang w:val="hy-AM"/>
        </w:rPr>
        <w:t xml:space="preserve"> 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158C">
        <w:rPr>
          <w:rFonts w:ascii="GHEA Grapalat" w:hAnsi="GHEA Grapalat"/>
          <w:sz w:val="24"/>
          <w:szCs w:val="24"/>
          <w:lang w:val="hy-AM"/>
        </w:rPr>
        <w:t>և Լավագույն Միջազգային Գործելակերպերի (ԼՄԳ) կիրառելի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158C">
        <w:rPr>
          <w:rFonts w:ascii="GHEA Grapalat" w:hAnsi="GHEA Grapalat"/>
          <w:sz w:val="24"/>
          <w:szCs w:val="24"/>
          <w:lang w:val="hy-AM"/>
        </w:rPr>
        <w:t xml:space="preserve">պահանջներին համապատասխան: </w:t>
      </w:r>
    </w:p>
    <w:p w14:paraId="61710C10" w14:textId="1AFCEC26" w:rsidR="008D0D42" w:rsidRDefault="008D0D42" w:rsidP="008F15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կարգի իրավական հիմքերն </w:t>
      </w:r>
      <w:r w:rsidR="00BE48C7">
        <w:rPr>
          <w:rFonts w:ascii="GHEA Grapalat" w:hAnsi="GHEA Grapalat"/>
          <w:sz w:val="24"/>
          <w:szCs w:val="24"/>
          <w:lang w:val="hy-AM"/>
        </w:rPr>
        <w:t xml:space="preserve">են  </w:t>
      </w:r>
      <w:r w:rsidR="008F158C" w:rsidRPr="008F158C">
        <w:rPr>
          <w:rFonts w:ascii="GHEA Grapalat" w:hAnsi="GHEA Grapalat"/>
          <w:sz w:val="24"/>
          <w:szCs w:val="24"/>
          <w:lang w:val="hy-AM"/>
        </w:rPr>
        <w:t>"Տեղեկատվության ազատության մասին" ՀՀ օրենքը</w:t>
      </w:r>
      <w:r w:rsidR="00BE48C7">
        <w:rPr>
          <w:rFonts w:ascii="GHEA Grapalat" w:hAnsi="GHEA Grapalat"/>
          <w:sz w:val="24"/>
          <w:szCs w:val="24"/>
          <w:lang w:val="hy-AM"/>
        </w:rPr>
        <w:t xml:space="preserve"> և այլ</w:t>
      </w:r>
      <w:r w:rsidR="00595B16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B16" w:rsidRPr="00595B16">
        <w:rPr>
          <w:rFonts w:ascii="GHEA Grapalat" w:hAnsi="GHEA Grapalat"/>
          <w:sz w:val="24"/>
          <w:szCs w:val="24"/>
          <w:lang w:val="hy-AM"/>
        </w:rPr>
        <w:t xml:space="preserve">նորմատիվ </w:t>
      </w:r>
      <w:r w:rsidR="00330E55">
        <w:rPr>
          <w:rFonts w:ascii="GHEA Grapalat" w:hAnsi="GHEA Grapalat"/>
          <w:sz w:val="24"/>
          <w:szCs w:val="24"/>
          <w:lang w:val="hy-AM"/>
        </w:rPr>
        <w:t>ու</w:t>
      </w:r>
      <w:r w:rsidR="00BE48C7">
        <w:rPr>
          <w:rFonts w:ascii="GHEA Grapalat" w:hAnsi="GHEA Grapalat"/>
          <w:sz w:val="24"/>
          <w:szCs w:val="24"/>
          <w:lang w:val="hy-AM"/>
        </w:rPr>
        <w:t xml:space="preserve"> իրավական ակտերը։</w:t>
      </w:r>
    </w:p>
    <w:p w14:paraId="78A339DF" w14:textId="360C1C49" w:rsidR="008E54EE" w:rsidRDefault="008E54EE" w:rsidP="0048128A">
      <w:pPr>
        <w:pStyle w:val="a3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09A5E474" w14:textId="3C39F801" w:rsidR="009D764D" w:rsidRDefault="009D764D" w:rsidP="0048128A">
      <w:pPr>
        <w:pStyle w:val="a3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704F8434" w14:textId="358FC2B1" w:rsidR="00D93DA9" w:rsidRDefault="00D93DA9" w:rsidP="00D93DA9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93DA9">
        <w:rPr>
          <w:rFonts w:ascii="GHEA Grapalat" w:hAnsi="GHEA Grapalat"/>
          <w:b/>
          <w:bCs/>
          <w:sz w:val="24"/>
          <w:szCs w:val="24"/>
          <w:lang w:val="hy-AM"/>
        </w:rPr>
        <w:t xml:space="preserve">ՇԱՀԱՌՈՒՆԵՐԻ ՆՈՒՅՆԱԿԱՆԱՑՈՒՄԸ ԵՎ </w:t>
      </w:r>
    </w:p>
    <w:p w14:paraId="08932C00" w14:textId="6D36F485" w:rsidR="003D578C" w:rsidRPr="00D93DA9" w:rsidRDefault="00D93DA9" w:rsidP="00D93DA9">
      <w:pPr>
        <w:spacing w:after="0" w:line="276" w:lineRule="auto"/>
        <w:ind w:left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93DA9">
        <w:rPr>
          <w:rFonts w:ascii="GHEA Grapalat" w:hAnsi="GHEA Grapalat"/>
          <w:b/>
          <w:bCs/>
          <w:sz w:val="24"/>
          <w:szCs w:val="24"/>
          <w:lang w:val="hy-AM"/>
        </w:rPr>
        <w:t>ՎԵՐԼՈՒԾՈՒԹՅՈՒՆԸ</w:t>
      </w:r>
    </w:p>
    <w:p w14:paraId="609432C7" w14:textId="77777777" w:rsidR="004D718D" w:rsidRDefault="004D718D" w:rsidP="003D578C">
      <w:pPr>
        <w:pStyle w:val="a3"/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CB86ED7" w14:textId="6FE4DD8A" w:rsidR="00D93DA9" w:rsidRDefault="00D93DA9" w:rsidP="00D93DA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Ընկերության գործունեության</w:t>
      </w:r>
      <w:r w:rsidRPr="00D93DA9">
        <w:rPr>
          <w:rFonts w:ascii="GHEA Grapalat" w:hAnsi="GHEA Grapalat"/>
          <w:sz w:val="24"/>
          <w:szCs w:val="24"/>
          <w:lang w:val="hy-AM"/>
        </w:rPr>
        <w:t xml:space="preserve"> առնչությամբ շահառուների նույնականացումը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DA9">
        <w:rPr>
          <w:rFonts w:ascii="GHEA Grapalat" w:hAnsi="GHEA Grapalat"/>
          <w:sz w:val="24"/>
          <w:szCs w:val="24"/>
          <w:lang w:val="hy-AM"/>
        </w:rPr>
        <w:t xml:space="preserve"> իրականացվ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Pr="00D93DA9">
        <w:rPr>
          <w:rFonts w:ascii="GHEA Grapalat" w:hAnsi="GHEA Grapalat"/>
          <w:sz w:val="24"/>
          <w:szCs w:val="24"/>
          <w:lang w:val="hy-AM"/>
        </w:rPr>
        <w:t xml:space="preserve"> է հետևյալ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DA9">
        <w:rPr>
          <w:rFonts w:ascii="GHEA Grapalat" w:hAnsi="GHEA Grapalat"/>
          <w:sz w:val="24"/>
          <w:szCs w:val="24"/>
          <w:lang w:val="hy-AM"/>
        </w:rPr>
        <w:t>չափանիշների հիման վրա՝</w:t>
      </w:r>
    </w:p>
    <w:p w14:paraId="1893D0F2" w14:textId="5999C00F" w:rsidR="00D93DA9" w:rsidRDefault="00D93DA9" w:rsidP="00D93DA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DA9">
        <w:rPr>
          <w:rFonts w:ascii="GHEA Grapalat" w:hAnsi="GHEA Grapalat"/>
          <w:sz w:val="24"/>
          <w:szCs w:val="24"/>
          <w:lang w:val="hy-AM"/>
        </w:rPr>
        <w:t>Ազդեցություն՝ Ընկերության գործունեությունը կարող է էականորեն ազդել որոշակի սոցիալական խմբի վրա (շահառուներ),</w:t>
      </w:r>
    </w:p>
    <w:p w14:paraId="450B3269" w14:textId="27295276" w:rsidR="00D93DA9" w:rsidRDefault="00D93DA9" w:rsidP="00D93DA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DA9">
        <w:rPr>
          <w:rFonts w:ascii="GHEA Grapalat" w:hAnsi="GHEA Grapalat"/>
          <w:sz w:val="24"/>
          <w:szCs w:val="24"/>
          <w:lang w:val="hy-AM"/>
        </w:rPr>
        <w:t>Ներգործություն՝ Սոցիալական խումբը կարող է էական ներգործություն ունենալ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DA9">
        <w:rPr>
          <w:rFonts w:ascii="GHEA Grapalat" w:hAnsi="GHEA Grapalat"/>
          <w:sz w:val="24"/>
          <w:szCs w:val="24"/>
          <w:lang w:val="hy-AM"/>
        </w:rPr>
        <w:t>Ընկերության գործունեությ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93DA9">
        <w:rPr>
          <w:rFonts w:ascii="GHEA Grapalat" w:hAnsi="GHEA Grapalat"/>
          <w:sz w:val="24"/>
          <w:szCs w:val="24"/>
          <w:lang w:val="hy-AM"/>
        </w:rPr>
        <w:t>ն վրա,</w:t>
      </w:r>
    </w:p>
    <w:p w14:paraId="774D516E" w14:textId="0EDC0ABC" w:rsidR="00D93DA9" w:rsidRDefault="00D93DA9" w:rsidP="00D93DA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DA9">
        <w:rPr>
          <w:rFonts w:ascii="GHEA Grapalat" w:hAnsi="GHEA Grapalat"/>
          <w:sz w:val="24"/>
          <w:szCs w:val="24"/>
          <w:lang w:val="hy-AM"/>
        </w:rPr>
        <w:t xml:space="preserve">Համագործակցություն՝ Հնարավորություններ </w:t>
      </w:r>
      <w:r w:rsidR="002D2FD1">
        <w:rPr>
          <w:rFonts w:ascii="GHEA Grapalat" w:hAnsi="GHEA Grapalat"/>
          <w:sz w:val="24"/>
          <w:szCs w:val="24"/>
          <w:lang w:val="hy-AM"/>
        </w:rPr>
        <w:t>Ընկերության</w:t>
      </w:r>
      <w:r w:rsidRPr="00D93DA9">
        <w:rPr>
          <w:rFonts w:ascii="GHEA Grapalat" w:hAnsi="GHEA Grapalat"/>
          <w:sz w:val="24"/>
          <w:szCs w:val="24"/>
          <w:lang w:val="hy-AM"/>
        </w:rPr>
        <w:t xml:space="preserve"> և տվյալ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DA9">
        <w:rPr>
          <w:rFonts w:ascii="GHEA Grapalat" w:hAnsi="GHEA Grapalat"/>
          <w:sz w:val="24"/>
          <w:szCs w:val="24"/>
          <w:lang w:val="hy-AM"/>
        </w:rPr>
        <w:t>սոցիալական խմբի միջև գործընկերական հարաբերությունների ստեղծման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DA9">
        <w:rPr>
          <w:rFonts w:ascii="GHEA Grapalat" w:hAnsi="GHEA Grapalat"/>
          <w:sz w:val="24"/>
          <w:szCs w:val="24"/>
          <w:lang w:val="hy-AM"/>
        </w:rPr>
        <w:t>համար, և</w:t>
      </w:r>
    </w:p>
    <w:p w14:paraId="2A948080" w14:textId="09A323B9" w:rsidR="002D2FD1" w:rsidRDefault="002D2FD1" w:rsidP="002D2FD1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Pr="002D2FD1">
        <w:rPr>
          <w:rFonts w:ascii="GHEA Grapalat" w:hAnsi="GHEA Grapalat"/>
          <w:sz w:val="24"/>
          <w:szCs w:val="24"/>
          <w:lang w:val="hy-AM"/>
        </w:rPr>
        <w:t>ետաքրքրություն՝ Սոցիալական խումբ կամ անհատներ, ովքեր պարտադիր չէ,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FD1">
        <w:rPr>
          <w:rFonts w:ascii="GHEA Grapalat" w:hAnsi="GHEA Grapalat"/>
          <w:sz w:val="24"/>
          <w:szCs w:val="24"/>
          <w:lang w:val="hy-AM"/>
        </w:rPr>
        <w:t xml:space="preserve">որ ուղղակիորեն ազդվեն </w:t>
      </w:r>
      <w:r>
        <w:rPr>
          <w:rFonts w:ascii="GHEA Grapalat" w:hAnsi="GHEA Grapalat"/>
          <w:sz w:val="24"/>
          <w:szCs w:val="24"/>
          <w:lang w:val="hy-AM"/>
        </w:rPr>
        <w:t>Ընկերության գործունեությունից</w:t>
      </w:r>
      <w:r w:rsidRPr="002D2FD1">
        <w:rPr>
          <w:rFonts w:ascii="GHEA Grapalat" w:hAnsi="GHEA Grapalat"/>
          <w:sz w:val="24"/>
          <w:szCs w:val="24"/>
          <w:lang w:val="hy-AM"/>
        </w:rPr>
        <w:t>, սակայն կարող են (կամ չեն կարող)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FD1">
        <w:rPr>
          <w:rFonts w:ascii="GHEA Grapalat" w:hAnsi="GHEA Grapalat"/>
          <w:sz w:val="24"/>
          <w:szCs w:val="24"/>
          <w:lang w:val="hy-AM"/>
        </w:rPr>
        <w:t>հետաքրքրություն ցուցաբերել դրա նկատմամբ:</w:t>
      </w:r>
    </w:p>
    <w:p w14:paraId="2765CAAB" w14:textId="7D042AAA" w:rsidR="00330E55" w:rsidRDefault="002D2FD1" w:rsidP="002D2FD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D1">
        <w:rPr>
          <w:rFonts w:ascii="GHEA Grapalat" w:hAnsi="GHEA Grapalat"/>
          <w:sz w:val="24"/>
          <w:szCs w:val="24"/>
          <w:lang w:val="hy-AM"/>
        </w:rPr>
        <w:t>Շահառուների վերլուծության նպատակով վերջիններս խմբավորվել են հետևյալ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FD1">
        <w:rPr>
          <w:rFonts w:ascii="GHEA Grapalat" w:hAnsi="GHEA Grapalat"/>
          <w:sz w:val="24"/>
          <w:szCs w:val="24"/>
          <w:lang w:val="hy-AM"/>
        </w:rPr>
        <w:t>երկու հիմնական կատեգորիաների՝</w:t>
      </w:r>
    </w:p>
    <w:p w14:paraId="31BDABC6" w14:textId="29426D5A" w:rsidR="00F054E8" w:rsidRPr="00F054E8" w:rsidRDefault="00F054E8" w:rsidP="00F054E8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054E8">
        <w:rPr>
          <w:rFonts w:ascii="GHEA Grapalat" w:hAnsi="GHEA Grapalat"/>
          <w:sz w:val="24"/>
          <w:szCs w:val="24"/>
          <w:lang w:val="hy-AM"/>
        </w:rPr>
        <w:t>Ազդակիր կողմերի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54E8">
        <w:rPr>
          <w:rFonts w:ascii="GHEA Grapalat" w:hAnsi="GHEA Grapalat"/>
          <w:sz w:val="24"/>
          <w:szCs w:val="24"/>
          <w:lang w:val="hy-AM"/>
        </w:rPr>
        <w:t>շահա</w:t>
      </w:r>
      <w:r>
        <w:rPr>
          <w:rFonts w:ascii="GHEA Grapalat" w:hAnsi="GHEA Grapalat"/>
          <w:sz w:val="24"/>
          <w:szCs w:val="24"/>
          <w:lang w:val="hy-AM"/>
        </w:rPr>
        <w:t>ռուներ</w:t>
      </w:r>
      <w:r w:rsidRPr="00F054E8">
        <w:rPr>
          <w:rFonts w:ascii="GHEA Grapalat" w:hAnsi="GHEA Grapalat"/>
          <w:sz w:val="24"/>
          <w:szCs w:val="24"/>
          <w:lang w:val="hy-AM"/>
        </w:rPr>
        <w:t>, ովքեր ազդեցության են ենթարկվում կամ կարող 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54E8">
        <w:rPr>
          <w:rFonts w:ascii="GHEA Grapalat" w:hAnsi="GHEA Grapalat"/>
          <w:sz w:val="24"/>
          <w:szCs w:val="24"/>
          <w:lang w:val="hy-AM"/>
        </w:rPr>
        <w:t xml:space="preserve">ենթարկվել </w:t>
      </w:r>
      <w:r>
        <w:rPr>
          <w:rFonts w:ascii="GHEA Grapalat" w:hAnsi="GHEA Grapalat"/>
          <w:sz w:val="24"/>
          <w:szCs w:val="24"/>
          <w:lang w:val="hy-AM"/>
        </w:rPr>
        <w:t>Ընկերության գործունեության արդյունքում,</w:t>
      </w:r>
    </w:p>
    <w:p w14:paraId="0999D353" w14:textId="2A2FF347" w:rsidR="00522193" w:rsidRDefault="00F054E8" w:rsidP="00F054E8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054E8">
        <w:rPr>
          <w:rFonts w:ascii="GHEA Grapalat" w:hAnsi="GHEA Grapalat"/>
          <w:sz w:val="24"/>
          <w:szCs w:val="24"/>
          <w:lang w:val="hy-AM"/>
        </w:rPr>
        <w:t>Այլ հետաքրքրված կողմերի – այլ կողմեր, ովքեր հետաքրքրված են</w:t>
      </w:r>
      <w:r>
        <w:rPr>
          <w:rFonts w:ascii="GHEA Grapalat" w:hAnsi="GHEA Grapalat"/>
          <w:sz w:val="24"/>
          <w:szCs w:val="24"/>
          <w:lang w:val="hy-AM"/>
        </w:rPr>
        <w:t xml:space="preserve"> Ընկերության գործունեությամբ</w:t>
      </w:r>
      <w:r w:rsidR="00522193" w:rsidRPr="00522193">
        <w:rPr>
          <w:rFonts w:ascii="GHEA Grapalat" w:hAnsi="GHEA Grapalat"/>
          <w:sz w:val="24"/>
          <w:szCs w:val="24"/>
          <w:lang w:val="hy-AM"/>
        </w:rPr>
        <w:t>:</w:t>
      </w:r>
    </w:p>
    <w:p w14:paraId="0C94AE15" w14:textId="3B603C33" w:rsidR="00F054E8" w:rsidRPr="00522193" w:rsidRDefault="00F054E8" w:rsidP="00F054E8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Ներքին շահառուներ - Ընկերության աշխատակիցները։</w:t>
      </w:r>
    </w:p>
    <w:p w14:paraId="253E258E" w14:textId="4C900108" w:rsidR="00522193" w:rsidRDefault="00DD6C6D" w:rsidP="0052219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2193">
        <w:rPr>
          <w:rFonts w:ascii="GHEA Grapalat" w:hAnsi="GHEA Grapalat"/>
          <w:sz w:val="24"/>
          <w:szCs w:val="24"/>
          <w:lang w:val="hy-AM"/>
        </w:rPr>
        <w:t>Ա</w:t>
      </w:r>
      <w:r w:rsidR="00522193" w:rsidRPr="00522193">
        <w:rPr>
          <w:rFonts w:ascii="GHEA Grapalat" w:hAnsi="GHEA Grapalat"/>
          <w:sz w:val="24"/>
          <w:szCs w:val="24"/>
          <w:lang w:val="hy-AM"/>
        </w:rPr>
        <w:t>րդյունավետ և բովանդակալից ներգրավվածություն ապահովելու</w:t>
      </w:r>
      <w:r w:rsidR="00522193">
        <w:rPr>
          <w:rFonts w:ascii="GHEA Grapalat" w:hAnsi="GHEA Grapalat"/>
          <w:sz w:val="24"/>
          <w:szCs w:val="24"/>
          <w:lang w:val="hy-AM"/>
        </w:rPr>
        <w:t xml:space="preserve"> նպատակով</w:t>
      </w:r>
      <w:r w:rsidR="00522193" w:rsidRPr="0052219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2193">
        <w:rPr>
          <w:rFonts w:ascii="GHEA Grapalat" w:hAnsi="GHEA Grapalat"/>
          <w:sz w:val="24"/>
          <w:szCs w:val="24"/>
          <w:lang w:val="hy-AM"/>
        </w:rPr>
        <w:t>Ընկերության</w:t>
      </w:r>
      <w:r w:rsidR="00522193" w:rsidRPr="00522193">
        <w:rPr>
          <w:rFonts w:ascii="GHEA Grapalat" w:hAnsi="GHEA Grapalat"/>
          <w:sz w:val="24"/>
          <w:szCs w:val="24"/>
          <w:lang w:val="hy-AM"/>
        </w:rPr>
        <w:t xml:space="preserve"> արտաքին շահառուները խմբավորվել են որպես՝</w:t>
      </w:r>
    </w:p>
    <w:p w14:paraId="4B846D44" w14:textId="20A02893" w:rsidR="00522193" w:rsidRDefault="00522193" w:rsidP="0052219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2193">
        <w:rPr>
          <w:rFonts w:ascii="GHEA Grapalat" w:hAnsi="GHEA Grapalat"/>
          <w:sz w:val="24"/>
          <w:szCs w:val="24"/>
          <w:lang w:val="hy-AM"/>
        </w:rPr>
        <w:t>Հնարավոր ազդակիր կողմեր,</w:t>
      </w:r>
    </w:p>
    <w:p w14:paraId="3B41474D" w14:textId="41C4B497" w:rsidR="00522193" w:rsidRDefault="00522193" w:rsidP="0052219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2193">
        <w:rPr>
          <w:rFonts w:ascii="GHEA Grapalat" w:hAnsi="GHEA Grapalat"/>
          <w:sz w:val="24"/>
          <w:szCs w:val="24"/>
          <w:lang w:val="hy-AM"/>
        </w:rPr>
        <w:t>Հնարավոր խոցելի խմբեր,</w:t>
      </w:r>
    </w:p>
    <w:p w14:paraId="3250CF7C" w14:textId="249A9947" w:rsidR="00522193" w:rsidRDefault="00522193" w:rsidP="0052219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2193">
        <w:rPr>
          <w:rFonts w:ascii="GHEA Grapalat" w:hAnsi="GHEA Grapalat"/>
          <w:sz w:val="24"/>
          <w:szCs w:val="24"/>
          <w:lang w:val="hy-AM"/>
        </w:rPr>
        <w:t>Տեղական (համայնքային), ներառյալ գյուղական իշխանություններ, և</w:t>
      </w:r>
    </w:p>
    <w:p w14:paraId="59F702E5" w14:textId="654DA4FB" w:rsidR="001C34CF" w:rsidRPr="00522193" w:rsidRDefault="001C34CF" w:rsidP="0052219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34CF">
        <w:rPr>
          <w:rFonts w:ascii="GHEA Grapalat" w:hAnsi="GHEA Grapalat"/>
          <w:sz w:val="24"/>
          <w:szCs w:val="24"/>
          <w:lang w:val="hy-AM"/>
        </w:rPr>
        <w:t>Այլ շահառուներ (ՀԿ-ներ, ԶԼՄ-ներ, ակադեմիական խմբեր, բիզնես և այլն):</w:t>
      </w:r>
    </w:p>
    <w:p w14:paraId="73ACB3A6" w14:textId="1AB3498B" w:rsidR="001C34CF" w:rsidRDefault="001C34CF" w:rsidP="00036AE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98680FC" w14:textId="2F9C9702" w:rsidR="00036AEC" w:rsidRPr="00036AEC" w:rsidRDefault="00036AEC" w:rsidP="00036AEC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93DA9">
        <w:rPr>
          <w:rFonts w:ascii="GHEA Grapalat" w:hAnsi="GHEA Grapalat"/>
          <w:b/>
          <w:bCs/>
          <w:sz w:val="24"/>
          <w:szCs w:val="24"/>
          <w:lang w:val="hy-AM"/>
        </w:rPr>
        <w:t xml:space="preserve">ՇԱՀԱՌՈՒՆԵՐԻ </w:t>
      </w:r>
      <w:r w:rsidRPr="00036AEC">
        <w:rPr>
          <w:rFonts w:ascii="GHEA Grapalat" w:hAnsi="GHEA Grapalat"/>
          <w:b/>
          <w:bCs/>
          <w:sz w:val="24"/>
          <w:szCs w:val="24"/>
          <w:lang w:val="hy-AM"/>
        </w:rPr>
        <w:t>ՆԵՐԳՐԱՎՄԱՆ ՍԿԶԲՈՒՆՔՆԵՐԸ</w:t>
      </w:r>
    </w:p>
    <w:p w14:paraId="6B192B64" w14:textId="77777777" w:rsidR="00036AEC" w:rsidRPr="00036AEC" w:rsidRDefault="00036AEC" w:rsidP="00036AE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D70B1FF" w14:textId="64497BD6" w:rsidR="00036AEC" w:rsidRDefault="00036AEC" w:rsidP="00036AEC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6AEC">
        <w:rPr>
          <w:rFonts w:ascii="GHEA Grapalat" w:hAnsi="GHEA Grapalat"/>
          <w:sz w:val="24"/>
          <w:szCs w:val="24"/>
          <w:lang w:val="hy-AM"/>
        </w:rPr>
        <w:t>Լավ</w:t>
      </w:r>
      <w:r>
        <w:rPr>
          <w:rFonts w:ascii="GHEA Grapalat" w:hAnsi="GHEA Grapalat"/>
          <w:sz w:val="24"/>
          <w:szCs w:val="24"/>
          <w:lang w:val="hy-AM"/>
        </w:rPr>
        <w:t>ագույն</w:t>
      </w:r>
      <w:r w:rsidRPr="00036AEC">
        <w:rPr>
          <w:rFonts w:ascii="GHEA Grapalat" w:hAnsi="GHEA Grapalat"/>
          <w:sz w:val="24"/>
          <w:szCs w:val="24"/>
          <w:lang w:val="hy-AM"/>
        </w:rPr>
        <w:t xml:space="preserve"> գործելակերպի մոտեցումներին համապատասխանեցնելու համար </w:t>
      </w:r>
      <w:r>
        <w:rPr>
          <w:rFonts w:ascii="GHEA Grapalat" w:hAnsi="GHEA Grapalat"/>
          <w:sz w:val="24"/>
          <w:szCs w:val="24"/>
          <w:lang w:val="hy-AM"/>
        </w:rPr>
        <w:t>Ընկերությունը</w:t>
      </w:r>
      <w:r w:rsidRPr="00036AEC">
        <w:rPr>
          <w:rFonts w:ascii="GHEA Grapalat" w:hAnsi="GHEA Grapalat"/>
          <w:sz w:val="24"/>
          <w:szCs w:val="24"/>
          <w:lang w:val="hy-AM"/>
        </w:rPr>
        <w:t xml:space="preserve"> շահագրգիռ կողմերի ներգրավման համար կկիրառի հետևյալ սկզբունքները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14:paraId="68A2BE42" w14:textId="77777777" w:rsidR="00A80AAD" w:rsidRDefault="00036AEC" w:rsidP="00A80AAD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0AAD">
        <w:rPr>
          <w:rFonts w:ascii="GHEA Grapalat" w:hAnsi="GHEA Grapalat"/>
          <w:sz w:val="24"/>
          <w:szCs w:val="24"/>
          <w:lang w:val="hy-AM"/>
        </w:rPr>
        <w:t>Թափանցիկություն ու շրջափուլային մոտեցում. Ընկերության գործունեության վերաբերյալ հանրային խորհրդատվությունները կկազմակերպվեն՝ բաց եղանակով, առանց արտաքին</w:t>
      </w:r>
      <w:r w:rsidR="00A80AAD" w:rsidRPr="00A80A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մանիպուլյացիայի, միջամտության, հարկադրանքի կամ ահաբեկման:</w:t>
      </w:r>
    </w:p>
    <w:p w14:paraId="25ED8212" w14:textId="77777777" w:rsidR="00A80AAD" w:rsidRDefault="00A80AAD" w:rsidP="00A80AAD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0AAD">
        <w:rPr>
          <w:rFonts w:ascii="GHEA Grapalat" w:hAnsi="GHEA Grapalat"/>
          <w:sz w:val="24"/>
          <w:szCs w:val="24"/>
          <w:lang w:val="hy-AM"/>
        </w:rPr>
        <w:t>Տեղեկացված մասնակցություն ու հետադարձ արձագանք. Տեղեկատվությունը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համապատասխան ձևաչափով կտրամադրվի և լայնորեն կտարածվի բոլոր շահագրգիռ կողմերի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 xml:space="preserve">միջև. </w:t>
      </w:r>
      <w:r w:rsidRPr="00A80AAD">
        <w:rPr>
          <w:rFonts w:ascii="GHEA Grapalat" w:hAnsi="GHEA Grapalat"/>
          <w:sz w:val="24"/>
          <w:szCs w:val="24"/>
          <w:lang w:val="hy-AM"/>
        </w:rPr>
        <w:lastRenderedPageBreak/>
        <w:t>հնարավորություններ են ընձեռնվում շահագրգիռ կողմերին՝ կարծիք հայտնելու, ինչպես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նաև մեկնաբանություններն ու մտահոգությունները վերլուծելու և լուծելու համար:</w:t>
      </w:r>
    </w:p>
    <w:p w14:paraId="2A8BB7B5" w14:textId="72DA7995" w:rsidR="00A80AAD" w:rsidRDefault="00A80AAD" w:rsidP="00A80AAD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0AAD">
        <w:rPr>
          <w:rFonts w:ascii="GHEA Grapalat" w:hAnsi="GHEA Grapalat"/>
          <w:sz w:val="24"/>
          <w:szCs w:val="24"/>
          <w:lang w:val="hy-AM"/>
        </w:rPr>
        <w:t xml:space="preserve">Ներառականություն ու զգայունություն. </w:t>
      </w:r>
      <w:r w:rsidR="00F054E8">
        <w:rPr>
          <w:rFonts w:ascii="GHEA Grapalat" w:hAnsi="GHEA Grapalat"/>
          <w:sz w:val="24"/>
          <w:szCs w:val="24"/>
          <w:lang w:val="hy-AM"/>
        </w:rPr>
        <w:t>Շահառուների</w:t>
      </w:r>
      <w:r w:rsidRPr="00A80AAD">
        <w:rPr>
          <w:rFonts w:ascii="GHEA Grapalat" w:hAnsi="GHEA Grapalat"/>
          <w:sz w:val="24"/>
          <w:szCs w:val="24"/>
          <w:lang w:val="hy-AM"/>
        </w:rPr>
        <w:t xml:space="preserve"> նույնականացումն իրականացվում է հաղորդակցությունն ուժեղացնելու և արդյունավետ հարաբերությունները խթանելու համար:</w:t>
      </w:r>
    </w:p>
    <w:p w14:paraId="59805121" w14:textId="1E020810" w:rsidR="00A80AAD" w:rsidRDefault="00A80AAD" w:rsidP="00A80AAD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0AAD">
        <w:rPr>
          <w:rFonts w:ascii="GHEA Grapalat" w:hAnsi="GHEA Grapalat"/>
          <w:sz w:val="24"/>
          <w:szCs w:val="24"/>
          <w:lang w:val="hy-AM"/>
        </w:rPr>
        <w:t>Ճկունություն. մշակութային համատեքստը (օրինակ՝ որոշակի գենդերային դինամիկան) 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կառավարման գործոնները (օրինակ՝ վրեժխնդրության բարձր ռիսկը) խաթարում է դեմ առ դեմ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ներգրավման ավանդական ձևերը, մեթոդաբանությունը պետք է հարմարվի ներգրավման 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ձևերին, ներառյալ համացանցով կամ հեռախոսային հաղորդակցման տարբեր ձևերը:</w:t>
      </w:r>
    </w:p>
    <w:p w14:paraId="773D71B2" w14:textId="741A2113" w:rsidR="00A80AAD" w:rsidRDefault="00F054E8" w:rsidP="00A80AAD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Շահառուների</w:t>
      </w:r>
      <w:r w:rsidR="00A80AAD" w:rsidRPr="00A80AAD">
        <w:rPr>
          <w:rFonts w:ascii="GHEA Grapalat" w:hAnsi="GHEA Grapalat"/>
          <w:sz w:val="24"/>
          <w:szCs w:val="24"/>
          <w:lang w:val="hy-AM"/>
        </w:rPr>
        <w:t xml:space="preserve"> ներգրավման շրջափուլը ներառում է հետևյալ տարրերը</w:t>
      </w:r>
      <w:r w:rsidR="00A80AAD" w:rsidRPr="00A80AAD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909D356" w14:textId="5820E736" w:rsidR="00A80AAD" w:rsidRPr="00A80AAD" w:rsidRDefault="00F054E8" w:rsidP="00A80AAD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Շահառուների</w:t>
      </w:r>
      <w:r w:rsidR="00A80AAD" w:rsidRPr="00A80AAD">
        <w:rPr>
          <w:rFonts w:ascii="GHEA Grapalat" w:hAnsi="GHEA Grapalat"/>
          <w:sz w:val="24"/>
          <w:szCs w:val="24"/>
          <w:lang w:val="hy-AM"/>
        </w:rPr>
        <w:t xml:space="preserve"> ներգրավում և փոխգործակցություն, համագործակցության համար</w:t>
      </w:r>
      <w:r w:rsidR="00A80AAD">
        <w:rPr>
          <w:rFonts w:ascii="GHEA Grapalat" w:hAnsi="GHEA Grapalat"/>
          <w:sz w:val="24"/>
          <w:szCs w:val="24"/>
          <w:lang w:val="hy-AM"/>
        </w:rPr>
        <w:t xml:space="preserve"> </w:t>
      </w:r>
      <w:r w:rsidR="00A80AAD" w:rsidRPr="00A80AAD">
        <w:rPr>
          <w:rFonts w:ascii="GHEA Grapalat" w:hAnsi="GHEA Grapalat"/>
          <w:sz w:val="24"/>
          <w:szCs w:val="24"/>
          <w:lang w:val="hy-AM"/>
        </w:rPr>
        <w:t>երկխոսության նախաձեռնում,</w:t>
      </w:r>
    </w:p>
    <w:p w14:paraId="5DD42B44" w14:textId="660DC193" w:rsidR="00A80AAD" w:rsidRPr="00A80AAD" w:rsidRDefault="00A80AAD" w:rsidP="00A80AAD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0AAD">
        <w:rPr>
          <w:rFonts w:ascii="GHEA Grapalat" w:hAnsi="GHEA Grapalat"/>
          <w:sz w:val="24"/>
          <w:szCs w:val="24"/>
          <w:lang w:val="hy-AM"/>
        </w:rPr>
        <w:t xml:space="preserve">Համագործակցության նշաձողերի բացահայտում </w:t>
      </w:r>
      <w:r w:rsidR="00F054E8">
        <w:rPr>
          <w:rFonts w:ascii="GHEA Grapalat" w:hAnsi="GHEA Grapalat"/>
          <w:sz w:val="24"/>
          <w:szCs w:val="24"/>
          <w:lang w:val="hy-AM"/>
        </w:rPr>
        <w:t>Շահառուների</w:t>
      </w:r>
      <w:r w:rsidRPr="00A80AAD">
        <w:rPr>
          <w:rFonts w:ascii="GHEA Grapalat" w:hAnsi="GHEA Grapalat"/>
          <w:sz w:val="24"/>
          <w:szCs w:val="24"/>
          <w:lang w:val="hy-AM"/>
        </w:rPr>
        <w:t xml:space="preserve"> շահերի և կարիքների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վերանայման միջոցով, համագործակցության ընդլայնում փոխադարձ հետաքրքրություն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ներկայացնող ընդհանուր հատվածներ գտնելու միջոցով,</w:t>
      </w:r>
    </w:p>
    <w:p w14:paraId="43C7DB70" w14:textId="2DA56C47" w:rsidR="00A80AAD" w:rsidRPr="00A80AAD" w:rsidRDefault="00A80AAD" w:rsidP="00A80AAD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0AAD">
        <w:rPr>
          <w:rFonts w:ascii="GHEA Grapalat" w:hAnsi="GHEA Grapalat"/>
          <w:sz w:val="24"/>
          <w:szCs w:val="24"/>
          <w:lang w:val="hy-AM"/>
        </w:rPr>
        <w:t xml:space="preserve">Համագործակցություն և մասնակցություն </w:t>
      </w:r>
      <w:r w:rsidR="00C1547B">
        <w:rPr>
          <w:rFonts w:ascii="GHEA Grapalat" w:hAnsi="GHEA Grapalat"/>
          <w:sz w:val="24"/>
          <w:szCs w:val="24"/>
          <w:lang w:val="hy-AM"/>
        </w:rPr>
        <w:t>Ընկերության</w:t>
      </w:r>
      <w:r w:rsidRPr="00A80AAD">
        <w:rPr>
          <w:rFonts w:ascii="GHEA Grapalat" w:hAnsi="GHEA Grapalat"/>
          <w:sz w:val="24"/>
          <w:szCs w:val="24"/>
          <w:lang w:val="hy-AM"/>
        </w:rPr>
        <w:t xml:space="preserve"> գործողություններին՝ իրենց շահերի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հետապնդման, իրենց կարիքների բավարարման, որոշումների կայացման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գործընթացների վրա ազդելու հնարավորության համար,</w:t>
      </w:r>
    </w:p>
    <w:p w14:paraId="13884E55" w14:textId="6D803C05" w:rsidR="00A80AAD" w:rsidRPr="00A80AAD" w:rsidRDefault="00A80AAD" w:rsidP="00A80AAD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0AAD">
        <w:rPr>
          <w:rFonts w:ascii="GHEA Grapalat" w:hAnsi="GHEA Grapalat"/>
          <w:sz w:val="24"/>
          <w:szCs w:val="24"/>
          <w:lang w:val="hy-AM"/>
        </w:rPr>
        <w:t>Մասնակցային գործընթացներում ներգրավումը թույլ կտա նրանց արտահայտել իրենց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կարծիքը, կիսել պատասխանատվությունն արդյունքների համար և տեր կանգնել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0AAD">
        <w:rPr>
          <w:rFonts w:ascii="GHEA Grapalat" w:hAnsi="GHEA Grapalat"/>
          <w:sz w:val="24"/>
          <w:szCs w:val="24"/>
          <w:lang w:val="hy-AM"/>
        </w:rPr>
        <w:t>արդյունքներին։</w:t>
      </w:r>
    </w:p>
    <w:p w14:paraId="00F90F82" w14:textId="6E9F3930" w:rsidR="00A80AAD" w:rsidRDefault="00F054E8" w:rsidP="003D7F7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Շահառուների</w:t>
      </w:r>
      <w:r w:rsidR="003D7F76" w:rsidRPr="003D7F76">
        <w:rPr>
          <w:rFonts w:ascii="GHEA Grapalat" w:hAnsi="GHEA Grapalat"/>
          <w:sz w:val="24"/>
          <w:szCs w:val="24"/>
          <w:lang w:val="hy-AM"/>
        </w:rPr>
        <w:t xml:space="preserve"> ներգրավումը շարունակական շրջափուլ է, որը նորովի է սկսվում իր</w:t>
      </w:r>
      <w:r w:rsidR="003D7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7F76" w:rsidRPr="003D7F76">
        <w:rPr>
          <w:rFonts w:ascii="GHEA Grapalat" w:hAnsi="GHEA Grapalat"/>
          <w:sz w:val="24"/>
          <w:szCs w:val="24"/>
          <w:lang w:val="hy-AM"/>
        </w:rPr>
        <w:t>վերջնական կետին հասնելուց հետո: Այս գործընթացը ներառում է ձեռքբերումների գրանցում,</w:t>
      </w:r>
      <w:r w:rsidR="003D7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7F76" w:rsidRPr="003D7F76">
        <w:rPr>
          <w:rFonts w:ascii="GHEA Grapalat" w:hAnsi="GHEA Grapalat"/>
          <w:sz w:val="24"/>
          <w:szCs w:val="24"/>
          <w:lang w:val="hy-AM"/>
        </w:rPr>
        <w:t>հետադարձ կապի հավաքում, կատարողականի բարելավում, նպատակների թարմացում և</w:t>
      </w:r>
      <w:r w:rsidR="003D7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7F76" w:rsidRPr="003D7F76">
        <w:rPr>
          <w:rFonts w:ascii="GHEA Grapalat" w:hAnsi="GHEA Grapalat"/>
          <w:sz w:val="24"/>
          <w:szCs w:val="24"/>
          <w:lang w:val="hy-AM"/>
        </w:rPr>
        <w:t xml:space="preserve">շրջափուլի կրկնում ավելի բարձր մակարդակով: Այս մոտեցումը ներառում է նոր </w:t>
      </w:r>
      <w:r>
        <w:rPr>
          <w:rFonts w:ascii="GHEA Grapalat" w:hAnsi="GHEA Grapalat"/>
          <w:sz w:val="24"/>
          <w:szCs w:val="24"/>
          <w:lang w:val="hy-AM"/>
        </w:rPr>
        <w:t>Շահառուների</w:t>
      </w:r>
      <w:r w:rsidR="003D7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7F76" w:rsidRPr="003D7F76">
        <w:rPr>
          <w:rFonts w:ascii="GHEA Grapalat" w:hAnsi="GHEA Grapalat"/>
          <w:sz w:val="24"/>
          <w:szCs w:val="24"/>
          <w:lang w:val="hy-AM"/>
        </w:rPr>
        <w:t xml:space="preserve">բացահայտում և </w:t>
      </w:r>
      <w:r w:rsidR="003D7F76" w:rsidRPr="003D7F76">
        <w:rPr>
          <w:rFonts w:ascii="GHEA Grapalat" w:hAnsi="GHEA Grapalat"/>
          <w:sz w:val="24"/>
          <w:szCs w:val="24"/>
          <w:lang w:val="hy-AM"/>
        </w:rPr>
        <w:lastRenderedPageBreak/>
        <w:t>ներգրավում` միաժամանակ պահպանելով համագործակցությունը հին</w:t>
      </w:r>
      <w:r w:rsidR="003D7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7F76" w:rsidRPr="003D7F76">
        <w:rPr>
          <w:rFonts w:ascii="GHEA Grapalat" w:hAnsi="GHEA Grapalat"/>
          <w:sz w:val="24"/>
          <w:szCs w:val="24"/>
          <w:lang w:val="hy-AM"/>
        </w:rPr>
        <w:t>գործընկերների հետ:</w:t>
      </w:r>
    </w:p>
    <w:p w14:paraId="32D63112" w14:textId="77777777" w:rsidR="001C4A9F" w:rsidRPr="001C4A9F" w:rsidRDefault="001C4A9F" w:rsidP="001C4A9F">
      <w:pPr>
        <w:pStyle w:val="a3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B7C7905" w14:textId="130E0E38" w:rsidR="0018274F" w:rsidRDefault="009D764D" w:rsidP="008D51BC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764D">
        <w:rPr>
          <w:rFonts w:ascii="GHEA Grapalat" w:hAnsi="GHEA Grapalat"/>
          <w:b/>
          <w:bCs/>
          <w:sz w:val="24"/>
          <w:szCs w:val="24"/>
          <w:lang w:val="hy-AM"/>
        </w:rPr>
        <w:t>ԴԻՄՈՒՄ-ԲՈՂՈՔՆ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ԵՐԻ</w:t>
      </w:r>
      <w:r w:rsidRPr="009D764D">
        <w:rPr>
          <w:lang w:val="hy-AM"/>
        </w:rPr>
        <w:t xml:space="preserve"> </w:t>
      </w:r>
      <w:r w:rsidRPr="009D764D">
        <w:rPr>
          <w:rFonts w:ascii="GHEA Grapalat" w:hAnsi="GHEA Grapalat"/>
          <w:b/>
          <w:bCs/>
          <w:sz w:val="24"/>
          <w:szCs w:val="24"/>
          <w:lang w:val="hy-AM"/>
        </w:rPr>
        <w:t xml:space="preserve">ԸՆԴՈՒՆՄԱՆ, ԳՐԱՆՑՄԱՆ, ՔՆՆԱՐԿՄԱՆ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9D764D">
        <w:rPr>
          <w:rFonts w:ascii="GHEA Grapalat" w:hAnsi="GHEA Grapalat"/>
          <w:b/>
          <w:bCs/>
          <w:sz w:val="24"/>
          <w:szCs w:val="24"/>
          <w:lang w:val="hy-AM"/>
        </w:rPr>
        <w:t xml:space="preserve"> ԴՐԱՆՑ ՎԵՐԱԲԵՐՅԱԼ ՈՐՈՇՈՒՄՆԵՐԻ ԿԱՅԱՑՄԱՆ ԿԱՐԳԸ</w:t>
      </w:r>
    </w:p>
    <w:p w14:paraId="6E6671D2" w14:textId="77777777" w:rsidR="008D51BC" w:rsidRDefault="008D51BC" w:rsidP="008D51BC">
      <w:pPr>
        <w:pStyle w:val="a3"/>
        <w:spacing w:after="0" w:line="276" w:lineRule="auto"/>
        <w:ind w:left="108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C76E212" w14:textId="6868EB50" w:rsidR="008D51BC" w:rsidRDefault="008D51BC" w:rsidP="00B727C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Սույնով սահմանվում է </w:t>
      </w:r>
      <w:r w:rsidRPr="008D51BC">
        <w:rPr>
          <w:rFonts w:ascii="GHEA Grapalat" w:hAnsi="GHEA Grapalat"/>
          <w:sz w:val="24"/>
          <w:szCs w:val="24"/>
          <w:lang w:val="hy-AM"/>
        </w:rPr>
        <w:t>դիմում-բողոքների և բողոքների ընդունման,</w:t>
      </w:r>
      <w:r>
        <w:rPr>
          <w:rFonts w:ascii="GHEA Grapalat" w:hAnsi="GHEA Grapalat"/>
          <w:sz w:val="24"/>
          <w:szCs w:val="24"/>
          <w:lang w:val="hy-AM"/>
        </w:rPr>
        <w:t xml:space="preserve"> գրանցման,</w:t>
      </w:r>
      <w:r w:rsidRPr="008D51BC">
        <w:rPr>
          <w:rFonts w:ascii="GHEA Grapalat" w:hAnsi="GHEA Grapalat"/>
          <w:sz w:val="24"/>
          <w:szCs w:val="24"/>
          <w:lang w:val="hy-AM"/>
        </w:rPr>
        <w:t xml:space="preserve"> քննարկման և դրանց վերաբերյալ որոշումների կայացման կարգը։</w:t>
      </w:r>
    </w:p>
    <w:p w14:paraId="1C1855F9" w14:textId="6B2469EB" w:rsidR="008D51BC" w:rsidRDefault="00B727CC" w:rsidP="00B727C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Ընկերության</w:t>
      </w:r>
      <w:r w:rsidRPr="00B727CC">
        <w:rPr>
          <w:rFonts w:ascii="GHEA Grapalat" w:hAnsi="GHEA Grapalat"/>
          <w:sz w:val="24"/>
          <w:szCs w:val="24"/>
          <w:lang w:val="hy-AM"/>
        </w:rPr>
        <w:t xml:space="preserve"> ցանկացած աշխատակից առձեռն ստանալով </w:t>
      </w:r>
      <w:r>
        <w:rPr>
          <w:rFonts w:ascii="GHEA Grapalat" w:hAnsi="GHEA Grapalat"/>
          <w:sz w:val="24"/>
          <w:szCs w:val="24"/>
          <w:lang w:val="hy-AM"/>
        </w:rPr>
        <w:t>շահառույի</w:t>
      </w:r>
      <w:r w:rsidRPr="00B727CC">
        <w:rPr>
          <w:rFonts w:ascii="GHEA Grapalat" w:hAnsi="GHEA Grapalat"/>
          <w:sz w:val="24"/>
          <w:szCs w:val="24"/>
          <w:lang w:val="hy-AM"/>
        </w:rPr>
        <w:t xml:space="preserve"> դիմումը ուղղորդում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7CC">
        <w:rPr>
          <w:rFonts w:ascii="GHEA Grapalat" w:hAnsi="GHEA Grapalat"/>
          <w:sz w:val="24"/>
          <w:szCs w:val="24"/>
          <w:lang w:val="hy-AM"/>
        </w:rPr>
        <w:t xml:space="preserve">է </w:t>
      </w:r>
      <w:r w:rsidR="000D188B">
        <w:rPr>
          <w:rFonts w:ascii="GHEA Grapalat" w:hAnsi="GHEA Grapalat"/>
          <w:sz w:val="24"/>
          <w:szCs w:val="24"/>
          <w:lang w:val="hy-AM"/>
        </w:rPr>
        <w:t xml:space="preserve"> պատասխանատու ստորաբաժանման ղեկավարի </w:t>
      </w:r>
      <w:r w:rsidRPr="00B727CC">
        <w:rPr>
          <w:rFonts w:ascii="GHEA Grapalat" w:hAnsi="GHEA Grapalat"/>
          <w:sz w:val="24"/>
          <w:szCs w:val="24"/>
          <w:lang w:val="hy-AM"/>
        </w:rPr>
        <w:t>մոտ, ինչպես նաև տրամադրում</w:t>
      </w:r>
      <w:r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B727CC">
        <w:rPr>
          <w:rFonts w:ascii="GHEA Grapalat" w:hAnsi="GHEA Grapalat"/>
          <w:sz w:val="24"/>
          <w:szCs w:val="24"/>
          <w:lang w:val="hy-AM"/>
        </w:rPr>
        <w:t>հաղորդակցման միջոցների մասին տվյալներ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7CC">
        <w:rPr>
          <w:rFonts w:ascii="GHEA Grapalat" w:hAnsi="GHEA Grapalat"/>
          <w:sz w:val="24"/>
          <w:szCs w:val="24"/>
          <w:lang w:val="hy-AM"/>
        </w:rPr>
        <w:t>(հեռախոս, էլեկտրոնային հասցե, այլ)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3E91024" w14:textId="2E837D77" w:rsidR="00B727CC" w:rsidRDefault="00B727CC" w:rsidP="00B727C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27CC">
        <w:rPr>
          <w:rFonts w:ascii="GHEA Grapalat" w:hAnsi="GHEA Grapalat"/>
          <w:sz w:val="24"/>
          <w:szCs w:val="24"/>
          <w:lang w:val="hy-AM"/>
        </w:rPr>
        <w:t xml:space="preserve">Դիմումները գրանցվում են </w:t>
      </w:r>
      <w:r>
        <w:rPr>
          <w:rFonts w:ascii="GHEA Grapalat" w:hAnsi="GHEA Grapalat"/>
          <w:sz w:val="24"/>
          <w:szCs w:val="24"/>
          <w:lang w:val="hy-AM"/>
        </w:rPr>
        <w:t xml:space="preserve"> համապատասխան էլեկտրոնային </w:t>
      </w:r>
      <w:r w:rsidRPr="00B727CC">
        <w:rPr>
          <w:rFonts w:ascii="GHEA Grapalat" w:hAnsi="GHEA Grapalat"/>
          <w:sz w:val="24"/>
          <w:szCs w:val="24"/>
          <w:lang w:val="hy-AM"/>
        </w:rPr>
        <w:t>գրանցամատյանում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7CC">
        <w:rPr>
          <w:rFonts w:ascii="GHEA Grapalat" w:hAnsi="GHEA Grapalat"/>
          <w:sz w:val="24"/>
          <w:szCs w:val="24"/>
          <w:lang w:val="hy-AM"/>
        </w:rPr>
        <w:t>ելնելով դիմումի բնույթից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0571165A" w14:textId="6F003EF9" w:rsidR="00B727CC" w:rsidRDefault="00B727CC" w:rsidP="00B727C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Ընկերության տնօրենը </w:t>
      </w:r>
      <w:r w:rsidR="000D188B">
        <w:rPr>
          <w:rFonts w:ascii="GHEA Grapalat" w:hAnsi="GHEA Grapalat"/>
          <w:sz w:val="24"/>
          <w:szCs w:val="24"/>
          <w:lang w:val="hy-AM"/>
        </w:rPr>
        <w:t xml:space="preserve"> պատասխանատու ստորաբաժանման ղեկավարի </w:t>
      </w:r>
      <w:r w:rsidRPr="00B727CC">
        <w:rPr>
          <w:rFonts w:ascii="GHEA Grapalat" w:hAnsi="GHEA Grapalat"/>
          <w:sz w:val="24"/>
          <w:szCs w:val="24"/>
          <w:lang w:val="hy-AM"/>
        </w:rPr>
        <w:t>մասնակցությամբ կազմակերպում է Դիմումի գրավոր պատասխանի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7CC">
        <w:rPr>
          <w:rFonts w:ascii="GHEA Grapalat" w:hAnsi="GHEA Grapalat"/>
          <w:sz w:val="24"/>
          <w:szCs w:val="24"/>
          <w:lang w:val="hy-AM"/>
        </w:rPr>
        <w:t>քննարկում և քննարկման արդյունքներով կայացնում անհրաժեշտ որոշումներ`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7CC">
        <w:rPr>
          <w:rFonts w:ascii="GHEA Grapalat" w:hAnsi="GHEA Grapalat"/>
          <w:sz w:val="24"/>
          <w:szCs w:val="24"/>
          <w:lang w:val="hy-AM"/>
        </w:rPr>
        <w:t>ձեռնարկվելիք միջոցառումների, թերությունների վերացման, մեղավոր անձանց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7CC">
        <w:rPr>
          <w:rFonts w:ascii="GHEA Grapalat" w:hAnsi="GHEA Grapalat"/>
          <w:sz w:val="24"/>
          <w:szCs w:val="24"/>
          <w:lang w:val="hy-AM"/>
        </w:rPr>
        <w:t>պատասխանատվության ենթարկելու վերաբերյալ:</w:t>
      </w:r>
    </w:p>
    <w:p w14:paraId="46BA4F95" w14:textId="3F874568" w:rsidR="00B727CC" w:rsidRDefault="00B727CC" w:rsidP="00B727C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27CC">
        <w:rPr>
          <w:rFonts w:ascii="GHEA Grapalat" w:hAnsi="GHEA Grapalat"/>
          <w:sz w:val="24"/>
          <w:szCs w:val="24"/>
          <w:lang w:val="hy-AM"/>
        </w:rPr>
        <w:t>Դիմումի պատասխանը փոստով ուղարկվում կամ առձեռն կամ դիմումի ստացման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7CC">
        <w:rPr>
          <w:rFonts w:ascii="GHEA Grapalat" w:hAnsi="GHEA Grapalat"/>
          <w:sz w:val="24"/>
          <w:szCs w:val="24"/>
          <w:lang w:val="hy-AM"/>
        </w:rPr>
        <w:t xml:space="preserve">նույն եղանակով տրվում է </w:t>
      </w:r>
      <w:r>
        <w:rPr>
          <w:rFonts w:ascii="GHEA Grapalat" w:hAnsi="GHEA Grapalat"/>
          <w:sz w:val="24"/>
          <w:szCs w:val="24"/>
          <w:lang w:val="hy-AM"/>
        </w:rPr>
        <w:t>շահառույին</w:t>
      </w:r>
      <w:r w:rsidRPr="00B727CC">
        <w:rPr>
          <w:rFonts w:ascii="GHEA Grapalat" w:hAnsi="GHEA Grapalat"/>
          <w:sz w:val="24"/>
          <w:szCs w:val="24"/>
          <w:lang w:val="hy-AM"/>
        </w:rPr>
        <w:t>:</w:t>
      </w:r>
    </w:p>
    <w:p w14:paraId="42365930" w14:textId="758DCF72" w:rsidR="00AE6AA5" w:rsidRDefault="00AE6AA5" w:rsidP="00AE6AA5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6AA5">
        <w:rPr>
          <w:rFonts w:ascii="GHEA Grapalat" w:hAnsi="GHEA Grapalat"/>
          <w:sz w:val="24"/>
          <w:szCs w:val="24"/>
          <w:lang w:val="hy-AM"/>
        </w:rPr>
        <w:t>Դիմումների քննության ընթացքում Դիմումատուից չի կարող պահանջվել այնպիսի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6AA5">
        <w:rPr>
          <w:rFonts w:ascii="GHEA Grapalat" w:hAnsi="GHEA Grapalat"/>
          <w:sz w:val="24"/>
          <w:szCs w:val="24"/>
          <w:lang w:val="hy-AM"/>
        </w:rPr>
        <w:t>փաստաթղթեր, որոնք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6AA5">
        <w:rPr>
          <w:rFonts w:ascii="GHEA Grapalat" w:hAnsi="GHEA Grapalat"/>
          <w:sz w:val="24"/>
          <w:szCs w:val="24"/>
          <w:lang w:val="hy-AM"/>
        </w:rPr>
        <w:t>անհրաժեշտ չեն Դիմումները կամ դրա հիմքում ընկած հանգամանքների առկայությունը կամ բացակայությունը հիմնավորելու կամ շահառույին նույնականացնելու համար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5C5C48C4" w14:textId="6A373ACD" w:rsidR="00AE6AA5" w:rsidRDefault="00AE6AA5" w:rsidP="00AE6AA5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6AA5">
        <w:rPr>
          <w:rFonts w:ascii="GHEA Grapalat" w:hAnsi="GHEA Grapalat"/>
          <w:sz w:val="24"/>
          <w:szCs w:val="24"/>
          <w:lang w:val="hy-AM"/>
        </w:rPr>
        <w:t>Դիմում-բողոքները քննարկվում են սույն Կարգ</w:t>
      </w:r>
      <w:r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AE6AA5">
        <w:rPr>
          <w:rFonts w:ascii="GHEA Grapalat" w:hAnsi="GHEA Grapalat"/>
          <w:sz w:val="24"/>
          <w:szCs w:val="24"/>
          <w:lang w:val="hy-AM"/>
        </w:rPr>
        <w:t>սահմանված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6AA5">
        <w:rPr>
          <w:rFonts w:ascii="GHEA Grapalat" w:hAnsi="GHEA Grapalat"/>
          <w:sz w:val="24"/>
          <w:szCs w:val="24"/>
          <w:lang w:val="hy-AM"/>
        </w:rPr>
        <w:t xml:space="preserve">ընթացակարգով և պատասխանները </w:t>
      </w:r>
      <w:r>
        <w:rPr>
          <w:rFonts w:ascii="GHEA Grapalat" w:hAnsi="GHEA Grapalat"/>
          <w:sz w:val="24"/>
          <w:szCs w:val="24"/>
          <w:lang w:val="hy-AM"/>
        </w:rPr>
        <w:t>շահառույին</w:t>
      </w:r>
      <w:r w:rsidRPr="00AE6AA5">
        <w:rPr>
          <w:rFonts w:ascii="GHEA Grapalat" w:hAnsi="GHEA Grapalat"/>
          <w:sz w:val="24"/>
          <w:szCs w:val="24"/>
          <w:lang w:val="hy-AM"/>
        </w:rPr>
        <w:t xml:space="preserve"> ուղարկվում են Դիմում-բողոքները</w:t>
      </w:r>
      <w:r>
        <w:rPr>
          <w:rFonts w:ascii="GHEA Grapalat" w:hAnsi="GHEA Grapalat"/>
          <w:sz w:val="24"/>
          <w:szCs w:val="24"/>
          <w:lang w:val="hy-AM"/>
        </w:rPr>
        <w:t xml:space="preserve"> ստանալու</w:t>
      </w:r>
      <w:r w:rsidRPr="00AE6AA5">
        <w:rPr>
          <w:rFonts w:ascii="GHEA Grapalat" w:hAnsi="GHEA Grapalat"/>
          <w:sz w:val="24"/>
          <w:szCs w:val="24"/>
          <w:lang w:val="hy-AM"/>
        </w:rPr>
        <w:t xml:space="preserve"> օրվանից </w:t>
      </w:r>
      <w:r>
        <w:rPr>
          <w:rFonts w:ascii="GHEA Grapalat" w:hAnsi="GHEA Grapalat"/>
          <w:sz w:val="24"/>
          <w:szCs w:val="24"/>
          <w:lang w:val="hy-AM"/>
        </w:rPr>
        <w:t>5 աշխատանքային օրվա</w:t>
      </w:r>
      <w:r w:rsidRPr="00AE6AA5">
        <w:rPr>
          <w:rFonts w:ascii="GHEA Grapalat" w:hAnsi="GHEA Grapalat"/>
          <w:sz w:val="24"/>
          <w:szCs w:val="24"/>
          <w:lang w:val="hy-AM"/>
        </w:rPr>
        <w:t xml:space="preserve"> ժամկետում:</w:t>
      </w:r>
    </w:p>
    <w:p w14:paraId="6CB49C8C" w14:textId="4F4171A7" w:rsidR="00AE6AA5" w:rsidRDefault="00AE6AA5" w:rsidP="00AE6AA5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6AA5">
        <w:rPr>
          <w:rFonts w:ascii="GHEA Grapalat" w:hAnsi="GHEA Grapalat"/>
          <w:sz w:val="24"/>
          <w:szCs w:val="24"/>
          <w:lang w:val="hy-AM"/>
        </w:rPr>
        <w:t>Դիմում-բողոքում առաջադրված հարցադրումները Ընկերության իրավասությունից դուրս լինելու դեպքում ոչ ուշ, քան 2 աշխատանքային օրվա ընթացքում այդ մասին ծանուցվում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6AA5">
        <w:rPr>
          <w:rFonts w:ascii="GHEA Grapalat" w:hAnsi="GHEA Grapalat"/>
          <w:sz w:val="24"/>
          <w:szCs w:val="24"/>
          <w:lang w:val="hy-AM"/>
        </w:rPr>
        <w:t>Դիմումատուին:</w:t>
      </w:r>
    </w:p>
    <w:p w14:paraId="1CB1E352" w14:textId="6A5D9B99" w:rsidR="00AE6AA5" w:rsidRDefault="0013217F" w:rsidP="0013217F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217F">
        <w:rPr>
          <w:rFonts w:ascii="GHEA Grapalat" w:hAnsi="GHEA Grapalat"/>
          <w:sz w:val="24"/>
          <w:szCs w:val="24"/>
          <w:lang w:val="hy-AM"/>
        </w:rPr>
        <w:lastRenderedPageBreak/>
        <w:t>Դիմում-բողոքի առթիվ ընդունված որոշման հետ համաձայն չլինելու դեպքում,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217F">
        <w:rPr>
          <w:rFonts w:ascii="GHEA Grapalat" w:hAnsi="GHEA Grapalat"/>
          <w:sz w:val="24"/>
          <w:szCs w:val="24"/>
          <w:lang w:val="hy-AM"/>
        </w:rPr>
        <w:t xml:space="preserve">Դիմումատուն իրավունք ունի այն բողոքարկել </w:t>
      </w:r>
      <w:r>
        <w:rPr>
          <w:rFonts w:ascii="GHEA Grapalat" w:hAnsi="GHEA Grapalat"/>
          <w:sz w:val="24"/>
          <w:szCs w:val="24"/>
          <w:lang w:val="hy-AM"/>
        </w:rPr>
        <w:t>ՀՀ նորմատիվ և իրավական ակտերով սահմանված և իրավասու մարմիններ</w:t>
      </w:r>
      <w:r w:rsidRPr="0013217F">
        <w:rPr>
          <w:rFonts w:ascii="GHEA Grapalat" w:hAnsi="GHEA Grapalat"/>
          <w:sz w:val="24"/>
          <w:szCs w:val="24"/>
          <w:lang w:val="hy-AM"/>
        </w:rPr>
        <w:t>:</w:t>
      </w:r>
    </w:p>
    <w:p w14:paraId="1B5B1410" w14:textId="101D604A" w:rsidR="003E2C7B" w:rsidRDefault="003E2C7B" w:rsidP="0048128A">
      <w:pPr>
        <w:pStyle w:val="a3"/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203AC61" w14:textId="77777777" w:rsidR="003E2C7B" w:rsidRPr="00C82929" w:rsidRDefault="003E2C7B" w:rsidP="0048128A">
      <w:pPr>
        <w:pStyle w:val="a3"/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5D78810" w14:textId="6C04B40E" w:rsidR="001A3C9F" w:rsidRDefault="00C90ECB" w:rsidP="0048128A">
      <w:pPr>
        <w:pStyle w:val="a3"/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D51BC">
        <w:rPr>
          <w:rFonts w:ascii="GHEA Grapalat" w:hAnsi="GHEA Grapalat"/>
          <w:b/>
          <w:bCs/>
          <w:sz w:val="24"/>
          <w:szCs w:val="24"/>
          <w:lang w:val="hy-AM"/>
        </w:rPr>
        <w:t>I</w:t>
      </w:r>
      <w:r w:rsidR="0048128A" w:rsidRPr="008D51BC">
        <w:rPr>
          <w:rFonts w:ascii="GHEA Grapalat" w:hAnsi="GHEA Grapalat"/>
          <w:b/>
          <w:bCs/>
          <w:sz w:val="24"/>
          <w:szCs w:val="24"/>
          <w:lang w:val="hy-AM"/>
        </w:rPr>
        <w:t>V.</w:t>
      </w:r>
      <w:r w:rsidR="001A3C9F" w:rsidRPr="0048128A">
        <w:rPr>
          <w:rFonts w:ascii="GHEA Grapalat" w:hAnsi="GHEA Grapalat"/>
          <w:b/>
          <w:bCs/>
          <w:sz w:val="24"/>
          <w:szCs w:val="24"/>
          <w:lang w:val="hy-AM"/>
        </w:rPr>
        <w:t xml:space="preserve"> ԵԶՐԱՓԱԿԻՉ ԴՐՈՒՅԹՆԵՐ</w:t>
      </w:r>
    </w:p>
    <w:p w14:paraId="2BB6C847" w14:textId="77777777" w:rsidR="0048128A" w:rsidRPr="0048128A" w:rsidRDefault="0048128A" w:rsidP="001A3C9F">
      <w:pPr>
        <w:pStyle w:val="a3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90166F4" w14:textId="0E88661D" w:rsidR="001A3C9F" w:rsidRDefault="001A3C9F" w:rsidP="0048128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կարգը հաստատվում, փոփոխվում և լրացվում է Ընկերության տնօրենի համապատասխան որոշմամբ։</w:t>
      </w:r>
    </w:p>
    <w:p w14:paraId="3DB8C320" w14:textId="21C21166" w:rsidR="001A3C9F" w:rsidRPr="001A3C9F" w:rsidRDefault="0048128A" w:rsidP="0048128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Այն հարցերը, որոնք ներառված չեն սույն կարգում, կարգավորվում են Հայաստանի Հանրապետության իրավական ակտերով։</w:t>
      </w:r>
    </w:p>
    <w:sectPr w:rsidR="001A3C9F" w:rsidRPr="001A3C9F" w:rsidSect="004617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7069"/>
    <w:multiLevelType w:val="hybridMultilevel"/>
    <w:tmpl w:val="EAD203EE"/>
    <w:lvl w:ilvl="0" w:tplc="13D64E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3DE3"/>
    <w:multiLevelType w:val="hybridMultilevel"/>
    <w:tmpl w:val="2DAEC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5D8B"/>
    <w:multiLevelType w:val="hybridMultilevel"/>
    <w:tmpl w:val="BDF60B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360AFC"/>
    <w:multiLevelType w:val="hybridMultilevel"/>
    <w:tmpl w:val="230E1C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6A0B9D"/>
    <w:multiLevelType w:val="hybridMultilevel"/>
    <w:tmpl w:val="5FD02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D6E83"/>
    <w:multiLevelType w:val="hybridMultilevel"/>
    <w:tmpl w:val="83D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7804"/>
    <w:multiLevelType w:val="hybridMultilevel"/>
    <w:tmpl w:val="12E09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F62D6"/>
    <w:multiLevelType w:val="hybridMultilevel"/>
    <w:tmpl w:val="EDC069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A5764C"/>
    <w:multiLevelType w:val="hybridMultilevel"/>
    <w:tmpl w:val="3DB24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20E45"/>
    <w:multiLevelType w:val="hybridMultilevel"/>
    <w:tmpl w:val="7AC08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F6A36"/>
    <w:multiLevelType w:val="hybridMultilevel"/>
    <w:tmpl w:val="43C2DA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670904"/>
    <w:multiLevelType w:val="hybridMultilevel"/>
    <w:tmpl w:val="4A48F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D2095"/>
    <w:multiLevelType w:val="hybridMultilevel"/>
    <w:tmpl w:val="70F4D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A6846"/>
    <w:multiLevelType w:val="hybridMultilevel"/>
    <w:tmpl w:val="45C039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D123A1"/>
    <w:multiLevelType w:val="hybridMultilevel"/>
    <w:tmpl w:val="8790000C"/>
    <w:lvl w:ilvl="0" w:tplc="6398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50EC6"/>
    <w:multiLevelType w:val="hybridMultilevel"/>
    <w:tmpl w:val="CA443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13B82"/>
    <w:multiLevelType w:val="hybridMultilevel"/>
    <w:tmpl w:val="68D8AEB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860902"/>
    <w:multiLevelType w:val="hybridMultilevel"/>
    <w:tmpl w:val="85220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B29D5"/>
    <w:multiLevelType w:val="hybridMultilevel"/>
    <w:tmpl w:val="02EEB5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2C0AF7"/>
    <w:multiLevelType w:val="hybridMultilevel"/>
    <w:tmpl w:val="A4E6A1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42060E"/>
    <w:multiLevelType w:val="hybridMultilevel"/>
    <w:tmpl w:val="7108BC30"/>
    <w:lvl w:ilvl="0" w:tplc="6C72E2A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85431"/>
    <w:multiLevelType w:val="hybridMultilevel"/>
    <w:tmpl w:val="21A635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E058C4"/>
    <w:multiLevelType w:val="hybridMultilevel"/>
    <w:tmpl w:val="5EFC8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A68EE"/>
    <w:multiLevelType w:val="hybridMultilevel"/>
    <w:tmpl w:val="93BE6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A74B4"/>
    <w:multiLevelType w:val="hybridMultilevel"/>
    <w:tmpl w:val="BD200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644F5"/>
    <w:multiLevelType w:val="hybridMultilevel"/>
    <w:tmpl w:val="413C0C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AB1EEE"/>
    <w:multiLevelType w:val="hybridMultilevel"/>
    <w:tmpl w:val="B5A625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7640E3"/>
    <w:multiLevelType w:val="hybridMultilevel"/>
    <w:tmpl w:val="2DE4F2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862AB4"/>
    <w:multiLevelType w:val="hybridMultilevel"/>
    <w:tmpl w:val="10E6C90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5B1CD6"/>
    <w:multiLevelType w:val="hybridMultilevel"/>
    <w:tmpl w:val="0DD0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E76FD"/>
    <w:multiLevelType w:val="hybridMultilevel"/>
    <w:tmpl w:val="449A4B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3B5F"/>
    <w:multiLevelType w:val="hybridMultilevel"/>
    <w:tmpl w:val="86AC13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6E7578"/>
    <w:multiLevelType w:val="hybridMultilevel"/>
    <w:tmpl w:val="B4105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D50E1"/>
    <w:multiLevelType w:val="hybridMultilevel"/>
    <w:tmpl w:val="656E8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15053"/>
    <w:multiLevelType w:val="hybridMultilevel"/>
    <w:tmpl w:val="8E96814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31254F"/>
    <w:multiLevelType w:val="hybridMultilevel"/>
    <w:tmpl w:val="00B80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8"/>
  </w:num>
  <w:num w:numId="4">
    <w:abstractNumId w:val="11"/>
  </w:num>
  <w:num w:numId="5">
    <w:abstractNumId w:val="31"/>
  </w:num>
  <w:num w:numId="6">
    <w:abstractNumId w:val="23"/>
  </w:num>
  <w:num w:numId="7">
    <w:abstractNumId w:val="25"/>
  </w:num>
  <w:num w:numId="8">
    <w:abstractNumId w:val="28"/>
  </w:num>
  <w:num w:numId="9">
    <w:abstractNumId w:val="20"/>
  </w:num>
  <w:num w:numId="10">
    <w:abstractNumId w:val="3"/>
  </w:num>
  <w:num w:numId="11">
    <w:abstractNumId w:val="13"/>
  </w:num>
  <w:num w:numId="12">
    <w:abstractNumId w:val="4"/>
  </w:num>
  <w:num w:numId="13">
    <w:abstractNumId w:val="18"/>
  </w:num>
  <w:num w:numId="14">
    <w:abstractNumId w:val="19"/>
  </w:num>
  <w:num w:numId="15">
    <w:abstractNumId w:val="17"/>
  </w:num>
  <w:num w:numId="16">
    <w:abstractNumId w:val="34"/>
  </w:num>
  <w:num w:numId="17">
    <w:abstractNumId w:val="26"/>
  </w:num>
  <w:num w:numId="18">
    <w:abstractNumId w:val="22"/>
  </w:num>
  <w:num w:numId="19">
    <w:abstractNumId w:val="6"/>
  </w:num>
  <w:num w:numId="20">
    <w:abstractNumId w:val="14"/>
  </w:num>
  <w:num w:numId="21">
    <w:abstractNumId w:val="15"/>
  </w:num>
  <w:num w:numId="22">
    <w:abstractNumId w:val="10"/>
  </w:num>
  <w:num w:numId="23">
    <w:abstractNumId w:val="32"/>
  </w:num>
  <w:num w:numId="24">
    <w:abstractNumId w:val="30"/>
  </w:num>
  <w:num w:numId="25">
    <w:abstractNumId w:val="16"/>
  </w:num>
  <w:num w:numId="26">
    <w:abstractNumId w:val="24"/>
  </w:num>
  <w:num w:numId="27">
    <w:abstractNumId w:val="7"/>
  </w:num>
  <w:num w:numId="28">
    <w:abstractNumId w:val="5"/>
  </w:num>
  <w:num w:numId="29">
    <w:abstractNumId w:val="1"/>
  </w:num>
  <w:num w:numId="30">
    <w:abstractNumId w:val="35"/>
  </w:num>
  <w:num w:numId="31">
    <w:abstractNumId w:val="2"/>
  </w:num>
  <w:num w:numId="32">
    <w:abstractNumId w:val="21"/>
  </w:num>
  <w:num w:numId="33">
    <w:abstractNumId w:val="12"/>
  </w:num>
  <w:num w:numId="34">
    <w:abstractNumId w:val="29"/>
  </w:num>
  <w:num w:numId="35">
    <w:abstractNumId w:val="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41"/>
    <w:rsid w:val="000009CC"/>
    <w:rsid w:val="000176EC"/>
    <w:rsid w:val="00036AEC"/>
    <w:rsid w:val="00044CA2"/>
    <w:rsid w:val="000C0864"/>
    <w:rsid w:val="000D1682"/>
    <w:rsid w:val="000D188B"/>
    <w:rsid w:val="000D57EE"/>
    <w:rsid w:val="0011392E"/>
    <w:rsid w:val="0013217F"/>
    <w:rsid w:val="0018274F"/>
    <w:rsid w:val="00192D4C"/>
    <w:rsid w:val="001A3C9F"/>
    <w:rsid w:val="001B15D9"/>
    <w:rsid w:val="001C34CF"/>
    <w:rsid w:val="001C4A9F"/>
    <w:rsid w:val="001E6F8C"/>
    <w:rsid w:val="001F1081"/>
    <w:rsid w:val="002A2856"/>
    <w:rsid w:val="002D2FD1"/>
    <w:rsid w:val="002F45C5"/>
    <w:rsid w:val="00307684"/>
    <w:rsid w:val="00330E55"/>
    <w:rsid w:val="0034350C"/>
    <w:rsid w:val="003836BE"/>
    <w:rsid w:val="003D578C"/>
    <w:rsid w:val="003D7F76"/>
    <w:rsid w:val="003E2C7B"/>
    <w:rsid w:val="004617DD"/>
    <w:rsid w:val="00463BDF"/>
    <w:rsid w:val="00475FA6"/>
    <w:rsid w:val="0048128A"/>
    <w:rsid w:val="004B2905"/>
    <w:rsid w:val="004B3604"/>
    <w:rsid w:val="004D718D"/>
    <w:rsid w:val="00522193"/>
    <w:rsid w:val="005234BC"/>
    <w:rsid w:val="00541B59"/>
    <w:rsid w:val="0055374A"/>
    <w:rsid w:val="00572BB8"/>
    <w:rsid w:val="005807DB"/>
    <w:rsid w:val="00595B16"/>
    <w:rsid w:val="005C6485"/>
    <w:rsid w:val="00624138"/>
    <w:rsid w:val="00631659"/>
    <w:rsid w:val="00715301"/>
    <w:rsid w:val="007A10A0"/>
    <w:rsid w:val="007A5FCC"/>
    <w:rsid w:val="008624FA"/>
    <w:rsid w:val="008A765D"/>
    <w:rsid w:val="008B4CE4"/>
    <w:rsid w:val="008B5B5B"/>
    <w:rsid w:val="008D0D42"/>
    <w:rsid w:val="008D1DE5"/>
    <w:rsid w:val="008D51BC"/>
    <w:rsid w:val="008E54EE"/>
    <w:rsid w:val="008F158C"/>
    <w:rsid w:val="00960C49"/>
    <w:rsid w:val="009D70F4"/>
    <w:rsid w:val="009D764D"/>
    <w:rsid w:val="00A12662"/>
    <w:rsid w:val="00A80AAD"/>
    <w:rsid w:val="00A82272"/>
    <w:rsid w:val="00AA78AA"/>
    <w:rsid w:val="00AE6AA5"/>
    <w:rsid w:val="00B10F13"/>
    <w:rsid w:val="00B41BF9"/>
    <w:rsid w:val="00B50097"/>
    <w:rsid w:val="00B727CC"/>
    <w:rsid w:val="00B762F9"/>
    <w:rsid w:val="00B76C8D"/>
    <w:rsid w:val="00B87999"/>
    <w:rsid w:val="00BE48C7"/>
    <w:rsid w:val="00C07B21"/>
    <w:rsid w:val="00C1547B"/>
    <w:rsid w:val="00C232D3"/>
    <w:rsid w:val="00C36D26"/>
    <w:rsid w:val="00C82929"/>
    <w:rsid w:val="00C90ECB"/>
    <w:rsid w:val="00CB29D2"/>
    <w:rsid w:val="00CB3255"/>
    <w:rsid w:val="00CB68BB"/>
    <w:rsid w:val="00D44A75"/>
    <w:rsid w:val="00D93DA9"/>
    <w:rsid w:val="00DA079A"/>
    <w:rsid w:val="00DB4941"/>
    <w:rsid w:val="00DD6C6D"/>
    <w:rsid w:val="00DF7CE8"/>
    <w:rsid w:val="00E01D1D"/>
    <w:rsid w:val="00EA7F66"/>
    <w:rsid w:val="00ED3CDB"/>
    <w:rsid w:val="00F054E8"/>
    <w:rsid w:val="00F102E0"/>
    <w:rsid w:val="00F91FAC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D9F8"/>
  <w15:chartTrackingRefBased/>
  <w15:docId w15:val="{71E3A082-05C3-4561-80D5-EB4D3EB0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856"/>
    <w:pPr>
      <w:ind w:left="720"/>
      <w:contextualSpacing/>
    </w:pPr>
  </w:style>
  <w:style w:type="table" w:styleId="a4">
    <w:name w:val="Table Grid"/>
    <w:basedOn w:val="a1"/>
    <w:uiPriority w:val="39"/>
    <w:rsid w:val="00C9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2026-02-23T07:45:00Z</dcterms:created>
  <dcterms:modified xsi:type="dcterms:W3CDTF">2026-02-23T07:45:00Z</dcterms:modified>
</cp:coreProperties>
</file>